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3658CCC4"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1E2F6655" w14:textId="76576666"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sidRPr="00991313">
              <w:rPr>
                <w:sz w:val="20"/>
                <w:szCs w:val="20"/>
              </w:rPr>
              <w:t xml:space="preserve">  Women Led</w:t>
            </w:r>
            <w:r w:rsidRPr="00991313">
              <w:tab/>
            </w:r>
          </w:p>
          <w:p w14:paraId="2B2462B7" w14:textId="77777777" w:rsidR="00875C06"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093F66AB" w14:textId="77777777" w:rsidR="007729D4" w:rsidRPr="00991313" w:rsidRDefault="007729D4" w:rsidP="007729D4">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0CDDF31B" w14:textId="1BFF8A2C" w:rsidR="005B10D2" w:rsidRPr="00954276" w:rsidRDefault="005B10D2" w:rsidP="007A4073">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4C2720">
            <w:pPr>
              <w:spacing w:after="0"/>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EE4192">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C44AE">
            <w:pPr>
              <w:spacing w:after="0" w:line="240" w:lineRule="auto"/>
              <w:rPr>
                <w:rFonts w:eastAsia="SimSun"/>
                <w:b/>
                <w:bCs/>
                <w:sz w:val="20"/>
                <w:szCs w:val="20"/>
              </w:rPr>
            </w:pPr>
            <w:r w:rsidRPr="00954276">
              <w:rPr>
                <w:rFonts w:eastAsia="SimSun"/>
                <w:b/>
                <w:bCs/>
                <w:sz w:val="20"/>
                <w:szCs w:val="20"/>
              </w:rPr>
              <w:t xml:space="preserve">Targeted Beneficiaries </w:t>
            </w:r>
          </w:p>
          <w:p w14:paraId="3AB1B25E" w14:textId="55070A72" w:rsidR="005B10D2" w:rsidRPr="00954276" w:rsidRDefault="005B10D2" w:rsidP="00EC44AE">
            <w:pPr>
              <w:spacing w:line="240" w:lineRule="auto"/>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EC44AE">
            <w:pPr>
              <w:spacing w:line="240" w:lineRule="auto"/>
              <w:rPr>
                <w:rFonts w:eastAsia="SimSun"/>
                <w:sz w:val="20"/>
                <w:szCs w:val="20"/>
              </w:rPr>
            </w:pPr>
            <w:r w:rsidRPr="00954276">
              <w:rPr>
                <w:rFonts w:eastAsia="SimSun"/>
                <w:b/>
                <w:bCs/>
                <w:sz w:val="20"/>
                <w:szCs w:val="20"/>
              </w:rPr>
              <w:lastRenderedPageBreak/>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E4192">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EE4192">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EE4192">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00EE4192">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860E86">
            <w:pPr>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VII. Risks and Mitigation Measures</w:t>
            </w:r>
            <w:bookmarkEnd w:id="6"/>
          </w:p>
          <w:p w14:paraId="2AC22B1F" w14:textId="77777777" w:rsidR="005B10D2" w:rsidRPr="00954276" w:rsidRDefault="005B10D2" w:rsidP="00860E86">
            <w:pPr>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77777777" w:rsidR="005B10D2" w:rsidRPr="00954276" w:rsidRDefault="005B10D2" w:rsidP="00860E86">
            <w:pPr>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10077B25"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The impact statement and associated indicators below must be used for Institutional Funding. Please refer to the call for proposals</w:t>
      </w:r>
      <w:r w:rsidR="004000FC">
        <w:rPr>
          <w:bCs/>
          <w:sz w:val="18"/>
          <w:szCs w:val="18"/>
        </w:rPr>
        <w:t xml:space="preserve"> and indicator tip sheets.</w:t>
      </w:r>
      <w:r>
        <w:rPr>
          <w:bCs/>
          <w:sz w:val="18"/>
          <w:szCs w:val="18"/>
        </w:rPr>
        <w:t xml:space="preserve">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1C734E36" w14:textId="77777777" w:rsidR="00991EF2" w:rsidRDefault="00991EF2" w:rsidP="005C320D">
            <w:pPr>
              <w:spacing w:after="0" w:line="240" w:lineRule="auto"/>
              <w:rPr>
                <w:bCs/>
                <w:sz w:val="20"/>
                <w:szCs w:val="20"/>
              </w:rPr>
            </w:pPr>
          </w:p>
          <w:p w14:paraId="58FB16C8" w14:textId="77777777"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FootnoteReference"/>
                <w:bCs/>
                <w:sz w:val="20"/>
                <w:szCs w:val="20"/>
              </w:rPr>
              <w:footnoteReference w:id="7"/>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260601F6" w:rsidR="005B10D2" w:rsidRPr="00D8121A" w:rsidRDefault="00D8121A" w:rsidP="005C320D">
            <w:pPr>
              <w:spacing w:after="0" w:line="240" w:lineRule="auto"/>
              <w:rPr>
                <w:rFonts w:cstheme="minorHAnsi"/>
                <w:i/>
                <w:iCs/>
                <w:color w:val="000000" w:themeColor="text1"/>
                <w:sz w:val="20"/>
                <w:szCs w:val="20"/>
              </w:rPr>
            </w:pPr>
            <w:r>
              <w:rPr>
                <w:rFonts w:cstheme="minorHAnsi"/>
                <w:color w:val="000000" w:themeColor="text1"/>
                <w:sz w:val="20"/>
                <w:szCs w:val="20"/>
              </w:rPr>
              <w:t xml:space="preserve">Target: </w:t>
            </w:r>
            <w:r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50664136"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lastRenderedPageBreak/>
              <w:t>Target: Enter number of people your organization serves/targets</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7777777"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EAE5544"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4B20FE7F" w:rsidR="005B10D2" w:rsidRPr="001D450D" w:rsidRDefault="001D450D" w:rsidP="005C320D">
            <w:pPr>
              <w:spacing w:line="240" w:lineRule="auto"/>
              <w:rPr>
                <w:rFonts w:cs="SimSun"/>
                <w:bCs/>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1DC5A595" w:rsidR="005B10D2" w:rsidRPr="001D450D" w:rsidRDefault="001D450D" w:rsidP="005C32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51632D7" w:rsidR="005B10D2" w:rsidRPr="001D450D" w:rsidRDefault="001D450D" w:rsidP="005C320D">
            <w:pPr>
              <w:spacing w:line="240" w:lineRule="auto"/>
              <w:rPr>
                <w:sz w:val="18"/>
                <w:szCs w:val="18"/>
              </w:rPr>
            </w:pPr>
            <w:r w:rsidRPr="001D450D">
              <w:rPr>
                <w:sz w:val="18"/>
                <w:szCs w:val="18"/>
              </w:rPr>
              <w:t>Enter the total budget allocated to this output</w:t>
            </w: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0EF02D16" w:rsidR="001D450D" w:rsidRPr="001D450D" w:rsidRDefault="001D450D" w:rsidP="001D450D">
            <w:pPr>
              <w:spacing w:line="240" w:lineRule="auto"/>
              <w:rPr>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03DA6091" w:rsidR="001D450D" w:rsidRPr="001D450D" w:rsidRDefault="001D450D" w:rsidP="001D45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6BB7532B" w:rsidR="001D450D" w:rsidRPr="001D450D" w:rsidRDefault="001D450D" w:rsidP="001D450D">
            <w:pPr>
              <w:spacing w:line="240" w:lineRule="auto"/>
              <w:rPr>
                <w:sz w:val="18"/>
                <w:szCs w:val="18"/>
              </w:rPr>
            </w:pPr>
            <w:r w:rsidRPr="001D450D">
              <w:rPr>
                <w:sz w:val="18"/>
                <w:szCs w:val="18"/>
              </w:rPr>
              <w:t>Enter the total budget allocated to this output</w:t>
            </w: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2EFE5BB1" w:rsidR="001D450D" w:rsidRPr="001D450D" w:rsidRDefault="001D450D" w:rsidP="001D450D">
            <w:pPr>
              <w:spacing w:line="240" w:lineRule="auto"/>
              <w:rPr>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4D67A5BF" w:rsidR="001D450D" w:rsidRPr="001D450D" w:rsidRDefault="001D450D" w:rsidP="001D45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1C4E711F" w:rsidR="001D450D" w:rsidRPr="001D450D" w:rsidRDefault="001D450D" w:rsidP="001D450D">
            <w:pPr>
              <w:spacing w:line="240" w:lineRule="auto"/>
              <w:rPr>
                <w:sz w:val="18"/>
                <w:szCs w:val="18"/>
              </w:rPr>
            </w:pPr>
            <w:r w:rsidRPr="001D450D">
              <w:rPr>
                <w:sz w:val="18"/>
                <w:szCs w:val="18"/>
              </w:rPr>
              <w:t>Enter the total budget allocated to this output</w:t>
            </w: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DE71" w14:textId="77777777" w:rsidR="007D425F" w:rsidRDefault="007D425F" w:rsidP="005B10D2">
      <w:pPr>
        <w:spacing w:after="0" w:line="240" w:lineRule="auto"/>
      </w:pPr>
      <w:r>
        <w:separator/>
      </w:r>
    </w:p>
  </w:endnote>
  <w:endnote w:type="continuationSeparator" w:id="0">
    <w:p w14:paraId="579A0731" w14:textId="77777777" w:rsidR="007D425F" w:rsidRDefault="007D425F"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DB53" w14:textId="77777777" w:rsidR="007D425F" w:rsidRDefault="007D425F" w:rsidP="005B10D2">
      <w:pPr>
        <w:spacing w:after="0" w:line="240" w:lineRule="auto"/>
      </w:pPr>
      <w:r>
        <w:separator/>
      </w:r>
    </w:p>
  </w:footnote>
  <w:footnote w:type="continuationSeparator" w:id="0">
    <w:p w14:paraId="2DF187A4" w14:textId="77777777" w:rsidR="007D425F" w:rsidRDefault="007D425F"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1C50F9"/>
    <w:rsid w:val="001D450D"/>
    <w:rsid w:val="00222178"/>
    <w:rsid w:val="00266EC6"/>
    <w:rsid w:val="00283084"/>
    <w:rsid w:val="002E5E19"/>
    <w:rsid w:val="00362540"/>
    <w:rsid w:val="004000FC"/>
    <w:rsid w:val="00453D8F"/>
    <w:rsid w:val="00497A03"/>
    <w:rsid w:val="004C2720"/>
    <w:rsid w:val="00525971"/>
    <w:rsid w:val="005B10D2"/>
    <w:rsid w:val="005E64C8"/>
    <w:rsid w:val="0062180B"/>
    <w:rsid w:val="006324D8"/>
    <w:rsid w:val="007128CD"/>
    <w:rsid w:val="0074012B"/>
    <w:rsid w:val="00760096"/>
    <w:rsid w:val="007729D4"/>
    <w:rsid w:val="007A4073"/>
    <w:rsid w:val="007B690B"/>
    <w:rsid w:val="007D425F"/>
    <w:rsid w:val="007E5F39"/>
    <w:rsid w:val="0081179E"/>
    <w:rsid w:val="00860E86"/>
    <w:rsid w:val="00875C06"/>
    <w:rsid w:val="00887AF9"/>
    <w:rsid w:val="00991EF2"/>
    <w:rsid w:val="009F2415"/>
    <w:rsid w:val="00B904F2"/>
    <w:rsid w:val="00C50075"/>
    <w:rsid w:val="00CD204D"/>
    <w:rsid w:val="00D016C6"/>
    <w:rsid w:val="00D8049D"/>
    <w:rsid w:val="00D8121A"/>
    <w:rsid w:val="00D81A82"/>
    <w:rsid w:val="00DC41AF"/>
    <w:rsid w:val="00E374EE"/>
    <w:rsid w:val="00EA6E73"/>
    <w:rsid w:val="00EC44AE"/>
    <w:rsid w:val="00EE4192"/>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cp:revision>
  <dcterms:created xsi:type="dcterms:W3CDTF">2022-01-27T13:57:00Z</dcterms:created>
  <dcterms:modified xsi:type="dcterms:W3CDTF">2022-02-16T13:09:00Z</dcterms:modified>
</cp:coreProperties>
</file>